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AEF07"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190490" cy="1475740"/>
            <wp:effectExtent l="0" t="0" r="0" b="0"/>
            <wp:wrapSquare wrapText="lef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049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190490" cy="1475740"/>
            <wp:effectExtent l="0" t="0" r="0" b="0"/>
            <wp:wrapSquare wrapText="lef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049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14:paraId="2A60975E"/>
    <w:p w14:paraId="569BB0FC"/>
    <w:p w14:paraId="2DE1AA76"/>
    <w:p w14:paraId="45552E75"/>
    <w:p w14:paraId="6FE4242E"/>
    <w:p w14:paraId="1E4CE536"/>
    <w:p w14:paraId="0701FCB2"/>
    <w:p w14:paraId="7247F55A"/>
    <w:p w14:paraId="4D9C82D8"/>
    <w:p w14:paraId="085469C5"/>
    <w:p w14:paraId="296A611E"/>
    <w:p w14:paraId="711C785D"/>
    <w:p w14:paraId="6C42780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Výroční zpráva           </w:t>
      </w:r>
    </w:p>
    <w:p w14:paraId="4D038247">
      <w:pPr>
        <w:jc w:val="center"/>
        <w:rPr>
          <w:rFonts w:hint="default"/>
          <w:b/>
          <w:sz w:val="44"/>
          <w:szCs w:val="44"/>
          <w:lang w:val="cs-CZ"/>
        </w:rPr>
      </w:pPr>
      <w:r>
        <w:rPr>
          <w:rFonts w:hint="default"/>
          <w:b/>
          <w:sz w:val="44"/>
          <w:szCs w:val="44"/>
          <w:lang w:val="cs-CZ"/>
        </w:rPr>
        <w:t>2024</w:t>
      </w:r>
    </w:p>
    <w:p w14:paraId="1AA9C0A0">
      <w:pPr>
        <w:jc w:val="center"/>
        <w:rPr>
          <w:b/>
          <w:sz w:val="44"/>
          <w:szCs w:val="44"/>
        </w:rPr>
      </w:pPr>
    </w:p>
    <w:p w14:paraId="713FFA2B">
      <w:pPr>
        <w:jc w:val="both"/>
      </w:pPr>
      <w:r>
        <w:rPr>
          <w:b/>
          <w:sz w:val="44"/>
          <w:szCs w:val="44"/>
        </w:rPr>
        <w:t xml:space="preserve">   </w:t>
      </w:r>
      <w:r>
        <w:drawing>
          <wp:inline distT="0" distB="0" distL="0" distR="0">
            <wp:extent cx="4866640" cy="364998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664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DA9D3">
      <w:pPr>
        <w:pStyle w:val="2"/>
        <w:jc w:val="left"/>
        <w:rPr>
          <w:sz w:val="28"/>
          <w:szCs w:val="28"/>
        </w:rPr>
      </w:pPr>
    </w:p>
    <w:p w14:paraId="196391AC">
      <w:pPr>
        <w:pStyle w:val="2"/>
        <w:jc w:val="left"/>
        <w:rPr>
          <w:sz w:val="28"/>
          <w:szCs w:val="28"/>
        </w:rPr>
      </w:pPr>
      <w:r>
        <w:rPr>
          <w:sz w:val="28"/>
          <w:szCs w:val="28"/>
        </w:rPr>
        <w:t>Asociace Středních průmyslových škol ČR</w:t>
      </w:r>
    </w:p>
    <w:p w14:paraId="1BD82829"/>
    <w:p w14:paraId="0B3F6047"/>
    <w:p w14:paraId="195D31A7">
      <w:pPr>
        <w:rPr>
          <w:rFonts w:ascii="Arial" w:hAnsi="Arial" w:cs="Arial"/>
        </w:rPr>
      </w:pPr>
      <w:r>
        <w:rPr>
          <w:rFonts w:ascii="Arial" w:hAnsi="Arial" w:cs="Arial"/>
        </w:rPr>
        <w:t>Základní údaje:</w:t>
      </w:r>
    </w:p>
    <w:p w14:paraId="27468D7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Název: Asociace SPŠ ČR</w:t>
      </w:r>
    </w:p>
    <w:p w14:paraId="58ACDD4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Právní forma: spolek ( podle par. 3045 zák. č. 89/2012 Sb., občanský zákoník)</w:t>
      </w:r>
    </w:p>
    <w:p w14:paraId="7AB0B8B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Sídlo: Křemencova 12/179, 116 28 Praha 1</w:t>
      </w:r>
    </w:p>
    <w:p w14:paraId="68AC185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IČ: 49540807</w:t>
      </w:r>
    </w:p>
    <w:p w14:paraId="2D2F31E7">
      <w:pPr>
        <w:ind w:left="360"/>
        <w:rPr>
          <w:rFonts w:ascii="Arial" w:hAnsi="Arial" w:cs="Arial"/>
        </w:rPr>
      </w:pPr>
    </w:p>
    <w:p w14:paraId="069A3267">
      <w:pPr>
        <w:ind w:left="360"/>
        <w:rPr>
          <w:rFonts w:ascii="Arial" w:hAnsi="Arial" w:cs="Arial"/>
        </w:rPr>
      </w:pPr>
    </w:p>
    <w:p w14:paraId="648C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Účetnictví je vedeno řádně, dle zákona o účetnictví a v souladu se stanovami a právními předpisy</w:t>
      </w:r>
    </w:p>
    <w:p w14:paraId="77126BFB">
      <w:pPr>
        <w:rPr>
          <w:rFonts w:ascii="Arial" w:hAnsi="Arial" w:cs="Arial"/>
        </w:rPr>
      </w:pPr>
    </w:p>
    <w:p w14:paraId="18C561B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Porovnání příjmů a výdajů se schváleným rozpočtem</w:t>
      </w:r>
    </w:p>
    <w:p w14:paraId="674261C0">
      <w:pPr>
        <w:ind w:left="360"/>
        <w:rPr>
          <w:rFonts w:ascii="Arial" w:hAnsi="Arial" w:cs="Arial"/>
        </w:rPr>
      </w:pPr>
    </w:p>
    <w:p w14:paraId="78ACEC65">
      <w:pPr>
        <w:ind w:left="360"/>
        <w:rPr>
          <w:rFonts w:ascii="Arial" w:hAnsi="Arial" w:cs="Arial"/>
        </w:rPr>
      </w:pPr>
    </w:p>
    <w:tbl>
      <w:tblPr>
        <w:tblStyle w:val="4"/>
        <w:tblW w:w="0" w:type="auto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195"/>
        <w:gridCol w:w="1749"/>
        <w:gridCol w:w="1860"/>
        <w:gridCol w:w="80"/>
        <w:gridCol w:w="82"/>
        <w:gridCol w:w="1755"/>
        <w:gridCol w:w="1101"/>
      </w:tblGrid>
      <w:tr w14:paraId="4F1D7AF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2" w:hRule="atLeast"/>
        </w:trPr>
        <w:tc>
          <w:tcPr>
            <w:tcW w:w="3944" w:type="dxa"/>
            <w:gridSpan w:val="2"/>
            <w:tcBorders>
              <w:bottom w:val="single" w:color="auto" w:sz="4" w:space="0"/>
            </w:tcBorders>
          </w:tcPr>
          <w:p w14:paraId="1CF5E3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Rozpočet Asociace SPŠ ČR </w:t>
            </w:r>
          </w:p>
        </w:tc>
        <w:tc>
          <w:tcPr>
            <w:tcW w:w="1940" w:type="dxa"/>
            <w:gridSpan w:val="2"/>
            <w:tcBorders>
              <w:bottom w:val="single" w:color="auto" w:sz="4" w:space="0"/>
            </w:tcBorders>
          </w:tcPr>
          <w:p w14:paraId="201B8171">
            <w:pPr>
              <w:autoSpaceDE w:val="0"/>
              <w:autoSpaceDN w:val="0"/>
              <w:adjustRightInd w:val="0"/>
              <w:rPr>
                <w:rFonts w:hint="default" w:ascii="Arial" w:hAnsi="Arial" w:cs="Arial"/>
                <w:b/>
                <w:bCs/>
                <w:sz w:val="28"/>
                <w:szCs w:val="28"/>
                <w:lang w:val="cs-CZ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na rok 202</w:t>
            </w:r>
            <w:r>
              <w:rPr>
                <w:rFonts w:hint="default" w:ascii="Arial" w:hAnsi="Arial" w:cs="Arial"/>
                <w:b/>
                <w:bCs/>
                <w:sz w:val="28"/>
                <w:szCs w:val="28"/>
                <w:lang w:val="cs-CZ"/>
              </w:rPr>
              <w:t>4</w:t>
            </w:r>
          </w:p>
        </w:tc>
        <w:tc>
          <w:tcPr>
            <w:tcW w:w="82" w:type="dxa"/>
            <w:tcBorders>
              <w:bottom w:val="single" w:color="auto" w:sz="4" w:space="0"/>
            </w:tcBorders>
          </w:tcPr>
          <w:p w14:paraId="5A417D3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tcBorders>
              <w:bottom w:val="single" w:color="auto" w:sz="4" w:space="0"/>
            </w:tcBorders>
          </w:tcPr>
          <w:p w14:paraId="1D6D13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01" w:type="dxa"/>
            <w:tcBorders>
              <w:bottom w:val="single" w:color="auto" w:sz="4" w:space="0"/>
            </w:tcBorders>
          </w:tcPr>
          <w:p w14:paraId="7C9A86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14:paraId="0292B72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957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02A8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8EEC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BC518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rok 202</w:t>
            </w:r>
            <w:r>
              <w:rPr>
                <w:rFonts w:hint="default" w:ascii="Arial" w:hAnsi="Arial" w:cs="Arial"/>
                <w:b/>
                <w:bCs/>
                <w:color w:val="auto"/>
                <w:lang w:val="cs-CZ"/>
              </w:rPr>
              <w:t xml:space="preserve">4 </w:t>
            </w:r>
            <w:r>
              <w:rPr>
                <w:rFonts w:ascii="Arial" w:hAnsi="Arial" w:cs="Arial"/>
                <w:b/>
                <w:bCs/>
                <w:color w:val="auto"/>
              </w:rPr>
              <w:t>schválený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0AC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25E3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202</w:t>
            </w: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4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skutečnost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A74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rozdíl</w:t>
            </w:r>
          </w:p>
        </w:tc>
      </w:tr>
      <w:tr w14:paraId="4E33FB2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9EA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počáteční stav 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074F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4054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926 000,00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CB56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380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922 652,69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E8CE03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3 347,31</w:t>
            </w:r>
          </w:p>
        </w:tc>
      </w:tr>
      <w:tr w14:paraId="3E7ACEC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67A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12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B7E9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3DC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EE4C0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73F7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14:paraId="25F1447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AE57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21927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FBEA3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 xml:space="preserve">990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43E4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E619F6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969 950,00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7EC8FD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20 050,00</w:t>
            </w:r>
          </w:p>
        </w:tc>
      </w:tr>
      <w:tr w14:paraId="72E8507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D3A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Celkem příjmy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0E27E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E2C1A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1 </w:t>
            </w: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916 000,00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EB11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2CC2C8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1 892 602,69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93D10">
            <w:pPr>
              <w:wordWrap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  <w:t>23 397,31</w:t>
            </w:r>
          </w:p>
        </w:tc>
      </w:tr>
      <w:tr w14:paraId="256B60D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632A1C">
            <w:pPr>
              <w:wordWrap/>
              <w:autoSpaceDE w:val="0"/>
              <w:autoSpaceDN w:val="0"/>
              <w:adjustRightInd w:val="0"/>
              <w:jc w:val="left"/>
              <w:rPr>
                <w:rFonts w:hint="default" w:ascii="Arial" w:hAnsi="Arial" w:cs="Arial"/>
                <w:lang w:val="cs-CZ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3686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86D3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39D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76109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25608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</w:p>
        </w:tc>
      </w:tr>
      <w:tr w14:paraId="00AAD49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F4C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DPP krajské rady + předseda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6459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8552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 xml:space="preserve">476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B75B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40651A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437 500,00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735C5A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38 500,00</w:t>
            </w:r>
          </w:p>
        </w:tc>
      </w:tr>
      <w:tr w14:paraId="72AD574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AA944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</w:rPr>
              <w:t>Krajské rady porady, režie, kancelář, ostatní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71F1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409C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50.000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C63BA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A248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18 474,00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53F9">
            <w:pPr>
              <w:wordWrap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31 526,00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</w:t>
            </w:r>
          </w:p>
        </w:tc>
      </w:tr>
      <w:tr w14:paraId="63C7B77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F928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valná hromada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1CFCA">
            <w:pPr>
              <w:wordWrap/>
              <w:autoSpaceDE w:val="0"/>
              <w:autoSpaceDN w:val="0"/>
              <w:adjustRightInd w:val="0"/>
              <w:jc w:val="left"/>
              <w:rPr>
                <w:rFonts w:hint="default" w:ascii="Arial" w:hAnsi="Arial" w:cs="Arial"/>
                <w:lang w:val="cs-CZ"/>
              </w:rPr>
            </w:pPr>
            <w:r>
              <w:rPr>
                <w:rFonts w:hint="default" w:ascii="Arial" w:hAnsi="Arial" w:cs="Arial"/>
                <w:sz w:val="16"/>
                <w:szCs w:val="16"/>
                <w:lang w:val="cs-CZ"/>
              </w:rPr>
              <w:t>-64 200,00 pl. 2. účastník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D4F3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0 000,00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52B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4A500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607 053,00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AD69A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42 947,00</w:t>
            </w:r>
          </w:p>
        </w:tc>
      </w:tr>
      <w:tr w14:paraId="0102834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67B8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cs-CZ"/>
              </w:rPr>
              <w:t>p</w:t>
            </w:r>
            <w:r>
              <w:rPr>
                <w:rFonts w:ascii="Arial" w:hAnsi="Arial" w:cs="Arial"/>
              </w:rPr>
              <w:t>oplatky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D59A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747E3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B8A3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92C962">
            <w:pPr>
              <w:autoSpaceDE w:val="0"/>
              <w:autoSpaceDN w:val="0"/>
              <w:adjustRightInd w:val="0"/>
              <w:ind w:firstLine="1100" w:firstLineChars="550"/>
              <w:jc w:val="both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432,00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4872D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-432,00</w:t>
            </w:r>
          </w:p>
        </w:tc>
      </w:tr>
      <w:tr w14:paraId="1591366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2B13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poplatek CZESHA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4E8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A80A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54 800,00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541E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E3B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54.000,00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B0253C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800,00</w:t>
            </w:r>
          </w:p>
        </w:tc>
      </w:tr>
      <w:tr w14:paraId="2E25FA3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1E64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D686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BDDA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381D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9396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CCB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14:paraId="01E4CFA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FC5F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Celkem výdaje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6FD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6AC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1 230 8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32E6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85B1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1 117 459,00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FC7A18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  <w:t>113 341,00</w:t>
            </w:r>
          </w:p>
        </w:tc>
      </w:tr>
    </w:tbl>
    <w:p w14:paraId="78E0DC47">
      <w:pPr>
        <w:ind w:left="360"/>
        <w:rPr>
          <w:rFonts w:ascii="Arial" w:hAnsi="Arial" w:cs="Arial"/>
        </w:rPr>
      </w:pPr>
    </w:p>
    <w:p w14:paraId="656F7AC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C ) Kontrola nakládání se svěřenými finančními  prostředky</w:t>
      </w:r>
    </w:p>
    <w:p w14:paraId="00C67FE9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>Kontrolované finanční prostředky  za období 202</w:t>
      </w:r>
      <w:r>
        <w:rPr>
          <w:rFonts w:hint="default" w:ascii="Arial" w:hAnsi="Arial" w:cs="Arial"/>
          <w:lang w:val="cs-CZ"/>
        </w:rPr>
        <w:t>4</w:t>
      </w:r>
      <w:r>
        <w:rPr>
          <w:rFonts w:ascii="Arial" w:hAnsi="Arial" w:cs="Arial"/>
        </w:rPr>
        <w:t xml:space="preserve"> byly vynaloženy průkazně a hospodárně.</w:t>
      </w:r>
    </w:p>
    <w:p w14:paraId="5A25D008">
      <w:pPr>
        <w:ind w:left="735"/>
        <w:rPr>
          <w:rFonts w:ascii="Arial" w:hAnsi="Arial" w:cs="Arial"/>
        </w:rPr>
      </w:pPr>
    </w:p>
    <w:p w14:paraId="77AA9A32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Kontrola správnosti vedení účetnictví </w:t>
      </w:r>
    </w:p>
    <w:p w14:paraId="66EA6CEB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>Viz. příloha č. 1 zpráva o hospodaření.</w:t>
      </w:r>
    </w:p>
    <w:p w14:paraId="4A615DD8">
      <w:pPr>
        <w:ind w:left="735"/>
        <w:rPr>
          <w:rFonts w:ascii="Arial" w:hAnsi="Arial" w:cs="Arial"/>
        </w:rPr>
      </w:pPr>
    </w:p>
    <w:p w14:paraId="145A0595">
      <w:pPr>
        <w:ind w:left="735"/>
        <w:rPr>
          <w:rFonts w:ascii="Arial" w:hAnsi="Arial" w:cs="Arial"/>
        </w:rPr>
      </w:pPr>
    </w:p>
    <w:p w14:paraId="5C94DE00">
      <w:pPr>
        <w:numPr>
          <w:ilvl w:val="0"/>
          <w:numId w:val="3"/>
        </w:num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Zhodnocení výsledku hospodaření za rok 202</w:t>
      </w:r>
      <w:r>
        <w:rPr>
          <w:rFonts w:hint="default" w:ascii="Arial" w:hAnsi="Arial" w:cs="Arial"/>
          <w:color w:val="auto"/>
          <w:lang w:val="cs-CZ"/>
        </w:rPr>
        <w:t>4</w:t>
      </w:r>
    </w:p>
    <w:p w14:paraId="1795A3DC">
      <w:pPr>
        <w:ind w:left="735"/>
        <w:rPr>
          <w:rFonts w:hint="default" w:ascii="Arial" w:hAnsi="Arial" w:cs="Arial"/>
          <w:color w:val="auto"/>
          <w:lang w:val="cs-CZ"/>
        </w:rPr>
      </w:pPr>
      <w:r>
        <w:rPr>
          <w:rFonts w:hint="default" w:ascii="Arial" w:hAnsi="Arial" w:cs="Arial"/>
          <w:color w:val="auto"/>
          <w:lang w:val="cs-CZ"/>
        </w:rPr>
        <w:t>Výdaje v roce 2024 byly ve výši 1 117 459,00 kč. Příjmy  969 950,00Kč,rozdíl ve výši 147 509,00 Kč byl financován ze zůstatku minulých let.</w:t>
      </w:r>
    </w:p>
    <w:p w14:paraId="5F1C14CF">
      <w:pPr>
        <w:numPr>
          <w:ilvl w:val="0"/>
          <w:numId w:val="3"/>
        </w:numPr>
        <w:ind w:left="786" w:leftChars="0" w:hanging="360" w:firstLineChars="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Kontrola odůvodněnosti finančních operací představenstva</w:t>
      </w:r>
    </w:p>
    <w:p w14:paraId="2BECA5C0">
      <w:pPr>
        <w:numPr>
          <w:numId w:val="0"/>
        </w:numPr>
        <w:rPr>
          <w:rFonts w:hint="default" w:ascii="Arial" w:hAnsi="Arial" w:cs="Arial"/>
          <w:i/>
          <w:iCs/>
          <w:lang w:val="cs-CZ"/>
        </w:rPr>
      </w:pPr>
      <w:r>
        <w:rPr>
          <w:rFonts w:hint="default" w:ascii="Arial" w:hAnsi="Arial" w:cs="Arial"/>
          <w:i/>
          <w:iCs/>
          <w:lang w:val="cs-CZ"/>
        </w:rPr>
        <w:t xml:space="preserve">             </w:t>
      </w:r>
    </w:p>
    <w:p w14:paraId="1DE66996">
      <w:pPr>
        <w:numPr>
          <w:ilvl w:val="0"/>
          <w:numId w:val="4"/>
        </w:numPr>
        <w:rPr>
          <w:rFonts w:ascii="Arial" w:hAnsi="Arial" w:cs="Arial"/>
          <w:i/>
        </w:rPr>
      </w:pPr>
      <w:r>
        <w:rPr>
          <w:rFonts w:hint="default" w:ascii="Arial" w:hAnsi="Arial" w:cs="Arial"/>
          <w:i/>
          <w:lang w:val="cs-CZ"/>
        </w:rPr>
        <w:t xml:space="preserve"> </w:t>
      </w:r>
      <w:r>
        <w:rPr>
          <w:rFonts w:ascii="Arial" w:hAnsi="Arial" w:cs="Arial"/>
          <w:i/>
        </w:rPr>
        <w:t>Kontrola úhrady členských příspěvků</w:t>
      </w:r>
    </w:p>
    <w:p w14:paraId="2B6D675A">
      <w:pPr>
        <w:ind w:left="735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Ke dni kontroly mají všechny asociace uhrazen členský příspěvek.</w:t>
      </w:r>
    </w:p>
    <w:p w14:paraId="1F22A297">
      <w:pPr>
        <w:ind w:left="735"/>
        <w:rPr>
          <w:rFonts w:ascii="Arial" w:hAnsi="Arial" w:cs="Arial"/>
          <w:i/>
        </w:rPr>
      </w:pPr>
    </w:p>
    <w:p w14:paraId="0EC44BD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H)  Kontrola souladu rozhodnutí předsednictva a Národní rady se stanovami</w:t>
      </w:r>
    </w:p>
    <w:p w14:paraId="1B9ED19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a   zákonem.</w:t>
      </w:r>
      <w:bookmarkStart w:id="0" w:name="_GoBack"/>
      <w:bookmarkEnd w:id="0"/>
    </w:p>
    <w:p w14:paraId="36DBA78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</w:t>
      </w:r>
    </w:p>
    <w:p w14:paraId="23B6FB2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I)   Přezkoumání o vyloučení člena</w:t>
      </w:r>
    </w:p>
    <w:p w14:paraId="3DCDCC7A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Za období roku 202</w:t>
      </w:r>
      <w:r>
        <w:rPr>
          <w:rFonts w:hint="default" w:ascii="Arial" w:hAnsi="Arial" w:cs="Arial"/>
          <w:i/>
          <w:lang w:val="cs-CZ"/>
        </w:rPr>
        <w:t>4</w:t>
      </w:r>
      <w:r>
        <w:rPr>
          <w:rFonts w:ascii="Arial" w:hAnsi="Arial" w:cs="Arial"/>
          <w:i/>
        </w:rPr>
        <w:t xml:space="preserve"> nebyl podán žádný návrh na vyloučení člena </w:t>
      </w:r>
    </w:p>
    <w:p w14:paraId="1B2A3E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14:paraId="3EB95B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J) Plnění dalších úkolů, které jí jako kontrolnímu orgánu ukládají právní </w:t>
      </w:r>
    </w:p>
    <w:p w14:paraId="67F459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předpisy nebo stanovy</w:t>
      </w:r>
    </w:p>
    <w:p w14:paraId="240A4C3A">
      <w:pPr>
        <w:rPr>
          <w:rFonts w:ascii="Arial" w:hAnsi="Arial" w:cs="Arial"/>
        </w:rPr>
      </w:pPr>
    </w:p>
    <w:p w14:paraId="3A1B1F7E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 řádném termínu bylo podáno daňové přiznání právnických osob    </w:t>
      </w:r>
    </w:p>
    <w:p w14:paraId="3D93F71F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 řádném termínu bylo podáno DP srážkové daně  za rok 202</w:t>
      </w:r>
      <w:r>
        <w:rPr>
          <w:rFonts w:hint="default" w:ascii="Arial" w:hAnsi="Arial" w:cs="Arial"/>
          <w:lang w:val="cs-CZ"/>
        </w:rPr>
        <w:t>4</w:t>
      </w:r>
      <w:r>
        <w:rPr>
          <w:rFonts w:ascii="Arial" w:hAnsi="Arial" w:cs="Arial"/>
        </w:rPr>
        <w:t xml:space="preserve">  </w:t>
      </w:r>
    </w:p>
    <w:p w14:paraId="66A302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69388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K) Plnění úkolů, které byly uloženy předsednictvem a VH </w:t>
      </w:r>
    </w:p>
    <w:p w14:paraId="34E716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Za rok 202</w:t>
      </w:r>
      <w:r>
        <w:rPr>
          <w:rFonts w:hint="default" w:ascii="Arial" w:hAnsi="Arial" w:cs="Arial"/>
          <w:lang w:val="cs-CZ"/>
        </w:rPr>
        <w:t>4</w:t>
      </w:r>
      <w:r>
        <w:rPr>
          <w:rFonts w:ascii="Arial" w:hAnsi="Arial" w:cs="Arial"/>
        </w:rPr>
        <w:t xml:space="preserve"> nebyly  uloženy žádné úkoly.</w:t>
      </w:r>
    </w:p>
    <w:p w14:paraId="2C2505B5">
      <w:pPr>
        <w:rPr>
          <w:rFonts w:ascii="Arial" w:hAnsi="Arial" w:cs="Arial"/>
        </w:rPr>
      </w:pPr>
    </w:p>
    <w:p w14:paraId="7DF710EF">
      <w:pPr>
        <w:rPr>
          <w:rFonts w:ascii="Arial" w:hAnsi="Arial" w:cs="Arial"/>
        </w:rPr>
      </w:pPr>
    </w:p>
    <w:p w14:paraId="78565E64">
      <w:pPr>
        <w:rPr>
          <w:rFonts w:ascii="Arial" w:hAnsi="Arial" w:cs="Arial"/>
        </w:rPr>
      </w:pPr>
    </w:p>
    <w:p w14:paraId="7B76BDE8">
      <w:pPr>
        <w:rPr>
          <w:rFonts w:ascii="Arial" w:hAnsi="Arial" w:cs="Arial"/>
        </w:rPr>
      </w:pPr>
    </w:p>
    <w:p w14:paraId="30889208">
      <w:pPr>
        <w:rPr>
          <w:rFonts w:ascii="Arial" w:hAnsi="Arial" w:cs="Arial"/>
        </w:rPr>
      </w:pPr>
    </w:p>
    <w:p w14:paraId="20643F9A">
      <w:pPr>
        <w:jc w:val="center"/>
        <w:rPr>
          <w:rFonts w:ascii="Arial" w:hAnsi="Arial" w:cs="Arial"/>
        </w:rPr>
      </w:pPr>
    </w:p>
    <w:p w14:paraId="40E8B656">
      <w:pPr>
        <w:jc w:val="center"/>
        <w:rPr>
          <w:rFonts w:ascii="Arial" w:hAnsi="Arial" w:cs="Arial"/>
        </w:rPr>
      </w:pPr>
      <w:r>
        <w:drawing>
          <wp:inline distT="0" distB="0" distL="0" distR="0">
            <wp:extent cx="5204460" cy="3192145"/>
            <wp:effectExtent l="0" t="0" r="0" b="825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6055" cy="319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3DC49">
      <w:pPr>
        <w:jc w:val="center"/>
        <w:rPr>
          <w:rFonts w:ascii="Arial" w:hAnsi="Arial" w:cs="Arial"/>
        </w:rPr>
      </w:pPr>
    </w:p>
    <w:p w14:paraId="7346BFF2">
      <w:pPr>
        <w:rPr>
          <w:rFonts w:ascii="Arial" w:hAnsi="Arial" w:cs="Arial"/>
        </w:rPr>
      </w:pPr>
    </w:p>
    <w:p w14:paraId="7C3EA889">
      <w:pPr>
        <w:rPr>
          <w:rFonts w:ascii="Arial" w:hAnsi="Arial" w:cs="Arial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15px;height:15px" o:bullet="t">
        <v:imagedata r:id="rId1" o:title=""/>
      </v:shape>
    </w:pict>
  </w:numPicBullet>
  <w:abstractNum w:abstractNumId="0">
    <w:nsid w:val="0B5A2BC7"/>
    <w:multiLevelType w:val="multilevel"/>
    <w:tmpl w:val="0B5A2BC7"/>
    <w:lvl w:ilvl="0" w:tentative="0">
      <w:start w:val="1"/>
      <w:numFmt w:val="upperLetter"/>
      <w:lvlText w:val="%1)"/>
      <w:lvlJc w:val="left"/>
      <w:pPr>
        <w:tabs>
          <w:tab w:val="left" w:pos="735"/>
        </w:tabs>
        <w:ind w:left="735" w:hanging="375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2911E1"/>
    <w:multiLevelType w:val="multilevel"/>
    <w:tmpl w:val="0D2911E1"/>
    <w:lvl w:ilvl="0" w:tentative="0">
      <w:start w:val="1"/>
      <w:numFmt w:val="bullet"/>
      <w:lvlText w:val=""/>
      <w:lvlPicBulletId w:val="0"/>
      <w:lvlJc w:val="left"/>
      <w:pPr>
        <w:tabs>
          <w:tab w:val="left" w:pos="1580"/>
        </w:tabs>
        <w:ind w:left="15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300"/>
        </w:tabs>
        <w:ind w:left="23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3020"/>
        </w:tabs>
        <w:ind w:left="30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740"/>
        </w:tabs>
        <w:ind w:left="37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460"/>
        </w:tabs>
        <w:ind w:left="44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180"/>
        </w:tabs>
        <w:ind w:left="51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900"/>
        </w:tabs>
        <w:ind w:left="59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620"/>
        </w:tabs>
        <w:ind w:left="66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340"/>
        </w:tabs>
        <w:ind w:left="7340" w:hanging="360"/>
      </w:pPr>
      <w:rPr>
        <w:rFonts w:hint="default" w:ascii="Wingdings" w:hAnsi="Wingdings"/>
      </w:rPr>
    </w:lvl>
  </w:abstractNum>
  <w:abstractNum w:abstractNumId="2">
    <w:nsid w:val="10287119"/>
    <w:multiLevelType w:val="multilevel"/>
    <w:tmpl w:val="1028711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160E5AB0"/>
    <w:multiLevelType w:val="multilevel"/>
    <w:tmpl w:val="160E5AB0"/>
    <w:lvl w:ilvl="0" w:tentative="0">
      <w:start w:val="7"/>
      <w:numFmt w:val="upp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E81739F"/>
    <w:multiLevelType w:val="multilevel"/>
    <w:tmpl w:val="4E81739F"/>
    <w:lvl w:ilvl="0" w:tentative="0">
      <w:start w:val="4"/>
      <w:numFmt w:val="upperLetter"/>
      <w:lvlText w:val="%1)"/>
      <w:lvlJc w:val="left"/>
      <w:pPr>
        <w:tabs>
          <w:tab w:val="left" w:pos="786"/>
        </w:tabs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16"/>
    <w:rsid w:val="000014E3"/>
    <w:rsid w:val="00011677"/>
    <w:rsid w:val="0003146D"/>
    <w:rsid w:val="00031EF8"/>
    <w:rsid w:val="00056FF0"/>
    <w:rsid w:val="000757CF"/>
    <w:rsid w:val="000A2C04"/>
    <w:rsid w:val="000C1216"/>
    <w:rsid w:val="000C7ACC"/>
    <w:rsid w:val="001142D7"/>
    <w:rsid w:val="00121397"/>
    <w:rsid w:val="00135A04"/>
    <w:rsid w:val="001472E9"/>
    <w:rsid w:val="00147380"/>
    <w:rsid w:val="00177155"/>
    <w:rsid w:val="00194063"/>
    <w:rsid w:val="001B4131"/>
    <w:rsid w:val="001C032C"/>
    <w:rsid w:val="001C2ABB"/>
    <w:rsid w:val="002327B2"/>
    <w:rsid w:val="00253EC8"/>
    <w:rsid w:val="00255703"/>
    <w:rsid w:val="0027144F"/>
    <w:rsid w:val="00292E2C"/>
    <w:rsid w:val="0029611B"/>
    <w:rsid w:val="002A23CF"/>
    <w:rsid w:val="002B04E2"/>
    <w:rsid w:val="002B706F"/>
    <w:rsid w:val="00344BEA"/>
    <w:rsid w:val="00347DEE"/>
    <w:rsid w:val="00357D8A"/>
    <w:rsid w:val="003615E9"/>
    <w:rsid w:val="00375D67"/>
    <w:rsid w:val="00385DEC"/>
    <w:rsid w:val="003B1892"/>
    <w:rsid w:val="003B6EB4"/>
    <w:rsid w:val="004145B5"/>
    <w:rsid w:val="00422F3A"/>
    <w:rsid w:val="004307E6"/>
    <w:rsid w:val="00463BE8"/>
    <w:rsid w:val="00494DB2"/>
    <w:rsid w:val="004A3FE3"/>
    <w:rsid w:val="004F2CD8"/>
    <w:rsid w:val="004F309F"/>
    <w:rsid w:val="00506501"/>
    <w:rsid w:val="00514C85"/>
    <w:rsid w:val="00530D3C"/>
    <w:rsid w:val="00533FAE"/>
    <w:rsid w:val="00544E2C"/>
    <w:rsid w:val="0057004F"/>
    <w:rsid w:val="0057096C"/>
    <w:rsid w:val="005727AA"/>
    <w:rsid w:val="005744A8"/>
    <w:rsid w:val="00576B16"/>
    <w:rsid w:val="00582FB2"/>
    <w:rsid w:val="005B2E3E"/>
    <w:rsid w:val="005D71CF"/>
    <w:rsid w:val="005E2B79"/>
    <w:rsid w:val="005F59F1"/>
    <w:rsid w:val="00684300"/>
    <w:rsid w:val="006A1FB3"/>
    <w:rsid w:val="006A2131"/>
    <w:rsid w:val="006E38B2"/>
    <w:rsid w:val="006F0DAD"/>
    <w:rsid w:val="006F16D6"/>
    <w:rsid w:val="00703203"/>
    <w:rsid w:val="00727B3A"/>
    <w:rsid w:val="00734C53"/>
    <w:rsid w:val="00736138"/>
    <w:rsid w:val="00783437"/>
    <w:rsid w:val="007A05D8"/>
    <w:rsid w:val="007A3C49"/>
    <w:rsid w:val="007B2436"/>
    <w:rsid w:val="007F42AB"/>
    <w:rsid w:val="008075AA"/>
    <w:rsid w:val="00825CE0"/>
    <w:rsid w:val="00832A1A"/>
    <w:rsid w:val="00864F9B"/>
    <w:rsid w:val="00866D0D"/>
    <w:rsid w:val="00891BC1"/>
    <w:rsid w:val="00892D6B"/>
    <w:rsid w:val="008A2D9E"/>
    <w:rsid w:val="008D6791"/>
    <w:rsid w:val="0092619F"/>
    <w:rsid w:val="0093029C"/>
    <w:rsid w:val="00945B73"/>
    <w:rsid w:val="0096535E"/>
    <w:rsid w:val="00977045"/>
    <w:rsid w:val="009929F3"/>
    <w:rsid w:val="009A0541"/>
    <w:rsid w:val="009B29C7"/>
    <w:rsid w:val="009D3FF1"/>
    <w:rsid w:val="009F7B6F"/>
    <w:rsid w:val="00A03DB7"/>
    <w:rsid w:val="00A06110"/>
    <w:rsid w:val="00A15B49"/>
    <w:rsid w:val="00A53278"/>
    <w:rsid w:val="00A64935"/>
    <w:rsid w:val="00A71ED3"/>
    <w:rsid w:val="00AA7ACE"/>
    <w:rsid w:val="00AC0B75"/>
    <w:rsid w:val="00AE522E"/>
    <w:rsid w:val="00AE6F29"/>
    <w:rsid w:val="00AF224C"/>
    <w:rsid w:val="00AF676C"/>
    <w:rsid w:val="00B4629D"/>
    <w:rsid w:val="00B66F5F"/>
    <w:rsid w:val="00BD0FCD"/>
    <w:rsid w:val="00BF7C2F"/>
    <w:rsid w:val="00C149E0"/>
    <w:rsid w:val="00C205C9"/>
    <w:rsid w:val="00C2422A"/>
    <w:rsid w:val="00C478DA"/>
    <w:rsid w:val="00C64088"/>
    <w:rsid w:val="00C71D98"/>
    <w:rsid w:val="00CA1A5B"/>
    <w:rsid w:val="00CB7DB6"/>
    <w:rsid w:val="00CC0C16"/>
    <w:rsid w:val="00CC181E"/>
    <w:rsid w:val="00CC5E96"/>
    <w:rsid w:val="00CD63E7"/>
    <w:rsid w:val="00D54D22"/>
    <w:rsid w:val="00D67BD4"/>
    <w:rsid w:val="00DB4EE5"/>
    <w:rsid w:val="00DD6A43"/>
    <w:rsid w:val="00DD784B"/>
    <w:rsid w:val="00DF68B3"/>
    <w:rsid w:val="00E0284F"/>
    <w:rsid w:val="00E205A0"/>
    <w:rsid w:val="00E36E9E"/>
    <w:rsid w:val="00E440F2"/>
    <w:rsid w:val="00E92DEA"/>
    <w:rsid w:val="00EB7A1B"/>
    <w:rsid w:val="00ED5DA2"/>
    <w:rsid w:val="00F05F80"/>
    <w:rsid w:val="00F3766B"/>
    <w:rsid w:val="00F519A1"/>
    <w:rsid w:val="00F54156"/>
    <w:rsid w:val="00FA0C6E"/>
    <w:rsid w:val="00FB5396"/>
    <w:rsid w:val="00FC4796"/>
    <w:rsid w:val="00FD0D50"/>
    <w:rsid w:val="00FE44A1"/>
    <w:rsid w:val="012612FF"/>
    <w:rsid w:val="158D5DD7"/>
    <w:rsid w:val="1A8C594E"/>
    <w:rsid w:val="1C171E0C"/>
    <w:rsid w:val="1EA92D40"/>
    <w:rsid w:val="24565C73"/>
    <w:rsid w:val="2AAC6DDA"/>
    <w:rsid w:val="374E08CC"/>
    <w:rsid w:val="3C606284"/>
    <w:rsid w:val="3D130342"/>
    <w:rsid w:val="445050BB"/>
    <w:rsid w:val="447C35B9"/>
    <w:rsid w:val="4B1C58B2"/>
    <w:rsid w:val="4ED456A4"/>
    <w:rsid w:val="57DD4C56"/>
    <w:rsid w:val="651F58D0"/>
    <w:rsid w:val="6DD13EA3"/>
    <w:rsid w:val="6FA6175E"/>
    <w:rsid w:val="7142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cs-CZ" w:eastAsia="cs-CZ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Arial" w:hAnsi="Arial" w:cs="Arial"/>
      <w:b/>
      <w:bCs/>
      <w:smallCaps/>
      <w:color w:val="0000FF"/>
      <w:spacing w:val="50"/>
      <w:sz w:val="5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VOŠ, SOŠ a SOU Kopřivnice</Company>
  <Pages>3</Pages>
  <Words>342</Words>
  <Characters>2024</Characters>
  <Lines>16</Lines>
  <Paragraphs>4</Paragraphs>
  <TotalTime>373</TotalTime>
  <ScaleCrop>false</ScaleCrop>
  <LinksUpToDate>false</LinksUpToDate>
  <CharactersWithSpaces>2362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2023-09-12T19:08:00Z</dcterms:created>
  <dc:creator>Ing. Pavel Plaček</dc:creator>
  <cp:lastModifiedBy>Jaroslava Buzková</cp:lastModifiedBy>
  <cp:lastPrinted>2020-09-27T10:07:00Z</cp:lastPrinted>
  <dcterms:modified xsi:type="dcterms:W3CDTF">2025-09-23T21:08:32Z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3000D82D19654313A5E14DB90375A822_13</vt:lpwstr>
  </property>
</Properties>
</file>